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CFF" w:rsidRDefault="00E75CFF" w:rsidP="00E75CFF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1FB99D1E" wp14:editId="2ECD3AED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CFF" w:rsidRDefault="00E75CFF" w:rsidP="00E75CFF">
      <w:pPr>
        <w:spacing w:before="1" w:line="280" w:lineRule="exact"/>
        <w:rPr>
          <w:sz w:val="28"/>
          <w:szCs w:val="28"/>
        </w:rPr>
      </w:pPr>
    </w:p>
    <w:p w:rsidR="00E75CFF" w:rsidRPr="001C7D85" w:rsidRDefault="00E75CFF" w:rsidP="00E75CFF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125A6453" wp14:editId="30C78FE8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E75CFF" w:rsidRPr="001C7D85" w:rsidRDefault="00E75CFF" w:rsidP="00E75CFF">
      <w:pPr>
        <w:spacing w:before="2" w:line="190" w:lineRule="exact"/>
        <w:rPr>
          <w:sz w:val="19"/>
          <w:szCs w:val="19"/>
          <w:lang w:val="fr-FR"/>
        </w:rPr>
      </w:pPr>
    </w:p>
    <w:p w:rsidR="00E75CFF" w:rsidRDefault="00E75CFF" w:rsidP="00E75CFF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E75CFF" w:rsidRDefault="00E75CFF" w:rsidP="00E75CFF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335F69" w:rsidRDefault="0094030D">
      <w:pPr>
        <w:rPr>
          <w:lang w:val="fr-FR"/>
        </w:rPr>
      </w:pPr>
    </w:p>
    <w:p w:rsidR="00E75CFF" w:rsidRPr="00E75CFF" w:rsidRDefault="00E75CFF" w:rsidP="00E75CFF">
      <w:pPr>
        <w:jc w:val="center"/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</w:pPr>
      <w:bookmarkStart w:id="0" w:name="_GoBack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 xml:space="preserve">Rapport qualité de la réunion du consortium à Bruxelles </w:t>
      </w:r>
      <w:bookmarkEnd w:id="0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>(01-02/07/2019).</w:t>
      </w:r>
    </w:p>
    <w:p w:rsidR="00E75CFF" w:rsidRPr="00E75CFF" w:rsidRDefault="00E75CFF">
      <w:pPr>
        <w:rPr>
          <w:color w:val="000000" w:themeColor="text1"/>
          <w:lang w:val="fr-FR"/>
        </w:rPr>
      </w:pPr>
    </w:p>
    <w:p w:rsidR="00E75CFF" w:rsidRPr="00E75CFF" w:rsidRDefault="00E75CFF" w:rsidP="00E75CFF">
      <w:pPr>
        <w:jc w:val="center"/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</w:pPr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 xml:space="preserve">CINQUIEME RÉUNION DU CONSORTIUM </w:t>
      </w:r>
      <w:proofErr w:type="spellStart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>Vrije</w:t>
      </w:r>
      <w:proofErr w:type="spellEnd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>Universiteit</w:t>
      </w:r>
      <w:proofErr w:type="spellEnd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 xml:space="preserve"> Brussel (</w:t>
      </w:r>
      <w:proofErr w:type="spellStart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>Bruxelle</w:t>
      </w:r>
      <w:proofErr w:type="spellEnd"/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t>/Belgique)</w:t>
      </w:r>
      <w:r w:rsidRPr="00E75CFF">
        <w:rPr>
          <w:rFonts w:ascii="Cambria" w:eastAsia="Cambria" w:hAnsi="Cambria" w:cs="Cambria"/>
          <w:b/>
          <w:color w:val="000000" w:themeColor="text1"/>
          <w:sz w:val="20"/>
          <w:szCs w:val="20"/>
          <w:lang w:val="fr-FR"/>
        </w:rPr>
        <w:br/>
      </w:r>
    </w:p>
    <w:p w:rsidR="00E75CFF" w:rsidRPr="00BF485B" w:rsidRDefault="00E75CFF" w:rsidP="00E75CFF">
      <w:pPr>
        <w:jc w:val="both"/>
        <w:rPr>
          <w:rFonts w:ascii="Cambria" w:eastAsia="Cambria" w:hAnsi="Cambria" w:cs="Cambria"/>
          <w:b/>
          <w:color w:val="7030A0"/>
          <w:sz w:val="20"/>
          <w:szCs w:val="20"/>
          <w:highlight w:val="yellow"/>
          <w:lang w:val="en-US"/>
        </w:rPr>
      </w:pPr>
    </w:p>
    <w:p w:rsidR="00E75CFF" w:rsidRPr="00BF485B" w:rsidRDefault="00E75CFF" w:rsidP="00E75CFF">
      <w:pPr>
        <w:rPr>
          <w:rFonts w:ascii="-webkit-standard" w:hAnsi="-webkit-standard"/>
          <w:color w:val="7030A0"/>
          <w:sz w:val="27"/>
          <w:szCs w:val="27"/>
          <w:lang w:val="fr-FR"/>
        </w:rPr>
      </w:pPr>
    </w:p>
    <w:p w:rsidR="00E75CFF" w:rsidRPr="00BF485B" w:rsidRDefault="00E75CFF" w:rsidP="00E75CFF">
      <w:pPr>
        <w:jc w:val="center"/>
        <w:rPr>
          <w:color w:val="7030A0"/>
        </w:rPr>
      </w:pPr>
      <w:r w:rsidRPr="00BF485B">
        <w:rPr>
          <w:noProof/>
          <w:color w:val="7030A0"/>
        </w:rPr>
        <w:drawing>
          <wp:inline distT="0" distB="0" distL="0" distR="0" wp14:anchorId="3BE60EE8" wp14:editId="03D6A67D">
            <wp:extent cx="1291028" cy="450835"/>
            <wp:effectExtent l="0" t="0" r="444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0740" cy="45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CFF" w:rsidRPr="00BF485B" w:rsidRDefault="00E75CFF" w:rsidP="00E75CFF">
      <w:pPr>
        <w:rPr>
          <w:color w:val="7030A0"/>
        </w:rPr>
      </w:pPr>
    </w:p>
    <w:p w:rsidR="00E75CFF" w:rsidRPr="00BF485B" w:rsidRDefault="00E75CFF" w:rsidP="00E75CFF">
      <w:pPr>
        <w:rPr>
          <w:color w:val="7030A0"/>
        </w:rPr>
      </w:pPr>
    </w:p>
    <w:p w:rsidR="00E75CFF" w:rsidRPr="00BF485B" w:rsidRDefault="00E75CFF" w:rsidP="00E75CFF">
      <w:pPr>
        <w:rPr>
          <w:color w:val="7030A0"/>
        </w:rPr>
      </w:pPr>
    </w:p>
    <w:p w:rsidR="00E75CFF" w:rsidRPr="00E75CFF" w:rsidRDefault="00E75CFF" w:rsidP="00E75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222222"/>
          <w:lang w:val="fr-FR"/>
        </w:rPr>
      </w:pPr>
      <w:r w:rsidRPr="00E75CFF">
        <w:rPr>
          <w:rFonts w:ascii="inherit" w:hAnsi="inherit" w:cs="Courier New"/>
          <w:color w:val="222222"/>
          <w:lang w:val="fr-FR"/>
        </w:rPr>
        <w:t xml:space="preserve">Participation: Tous les partenaires, sauf Ibn </w:t>
      </w:r>
      <w:proofErr w:type="spellStart"/>
      <w:r w:rsidRPr="00E75CFF">
        <w:rPr>
          <w:rFonts w:ascii="inherit" w:hAnsi="inherit" w:cs="Courier New"/>
          <w:color w:val="222222"/>
          <w:lang w:val="fr-FR"/>
        </w:rPr>
        <w:t>Zohr</w:t>
      </w:r>
      <w:proofErr w:type="spellEnd"/>
      <w:r w:rsidRPr="00E75CFF">
        <w:rPr>
          <w:rFonts w:ascii="inherit" w:hAnsi="inherit" w:cs="Courier New"/>
          <w:color w:val="222222"/>
          <w:lang w:val="fr-FR"/>
        </w:rPr>
        <w:t xml:space="preserve"> (UIZ), Mohamed 1er (UMP), KTH.</w:t>
      </w:r>
    </w:p>
    <w:p w:rsidR="00E75CFF" w:rsidRDefault="00E75CFF" w:rsidP="00E75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222222"/>
          <w:lang w:val="fr-FR"/>
        </w:rPr>
      </w:pPr>
    </w:p>
    <w:p w:rsidR="00E75CFF" w:rsidRDefault="00E75CFF" w:rsidP="00E75CFF"/>
    <w:p w:rsidR="00E75CFF" w:rsidRDefault="00E75CFF" w:rsidP="00E75CFF">
      <w:proofErr w:type="spellStart"/>
      <w:r>
        <w:t>Forces</w:t>
      </w:r>
      <w:proofErr w:type="spellEnd"/>
      <w:r>
        <w:t>:</w:t>
      </w:r>
    </w:p>
    <w:p w:rsidR="00E75CFF" w:rsidRDefault="00E75CFF" w:rsidP="00E75CFF"/>
    <w:p w:rsidR="00000000" w:rsidRPr="00E75CFF" w:rsidRDefault="0094030D" w:rsidP="00E75CFF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 w:rsidRPr="00E75CFF">
        <w:rPr>
          <w:lang w:val="fr-FR"/>
        </w:rPr>
        <w:t xml:space="preserve">Lieu et organisation de l'événement: excellent. </w:t>
      </w:r>
    </w:p>
    <w:p w:rsidR="00E75CFF" w:rsidRDefault="0094030D" w:rsidP="00E75CFF">
      <w:pPr>
        <w:numPr>
          <w:ilvl w:val="0"/>
          <w:numId w:val="2"/>
        </w:numPr>
        <w:tabs>
          <w:tab w:val="num" w:pos="720"/>
        </w:tabs>
      </w:pPr>
      <w:r w:rsidRPr="00E75CFF">
        <w:rPr>
          <w:lang w:val="fr-FR"/>
        </w:rPr>
        <w:t>Le programme a été livré bien à l'avance et a été suivi dans le cadre établi par la coordination.</w:t>
      </w:r>
    </w:p>
    <w:p w:rsidR="00E75CFF" w:rsidRPr="00E75CFF" w:rsidRDefault="00E75CFF" w:rsidP="00E75CFF">
      <w:pPr>
        <w:numPr>
          <w:ilvl w:val="0"/>
          <w:numId w:val="2"/>
        </w:numPr>
        <w:tabs>
          <w:tab w:val="num" w:pos="720"/>
        </w:tabs>
      </w:pPr>
      <w:r w:rsidRPr="00E75CFF">
        <w:rPr>
          <w:rFonts w:ascii="inherit" w:hAnsi="inherit" w:cs="Courier New"/>
          <w:color w:val="222222"/>
          <w:lang w:val="fr-FR"/>
        </w:rPr>
        <w:t>Les contenus suivants ont été présentés avec succès, entre autres:</w:t>
      </w:r>
    </w:p>
    <w:p w:rsidR="00E75CFF" w:rsidRPr="00E75CFF" w:rsidRDefault="00E75CFF" w:rsidP="00E75CFF">
      <w:pPr>
        <w:pStyle w:val="NormalWeb"/>
        <w:numPr>
          <w:ilvl w:val="1"/>
          <w:numId w:val="2"/>
        </w:numPr>
        <w:rPr>
          <w:color w:val="000000" w:themeColor="text1"/>
        </w:rPr>
      </w:pPr>
      <w:proofErr w:type="spellStart"/>
      <w:r w:rsidRPr="00E75CFF">
        <w:rPr>
          <w:rFonts w:ascii="Cambria" w:hAnsi="Cambria"/>
          <w:color w:val="000000" w:themeColor="text1"/>
        </w:rPr>
        <w:t>Révision</w:t>
      </w:r>
      <w:proofErr w:type="spellEnd"/>
      <w:r w:rsidRPr="00E75CFF">
        <w:rPr>
          <w:rFonts w:ascii="Cambria" w:hAnsi="Cambria"/>
          <w:color w:val="000000" w:themeColor="text1"/>
        </w:rPr>
        <w:t xml:space="preserve"> et </w:t>
      </w:r>
      <w:proofErr w:type="spellStart"/>
      <w:r w:rsidRPr="00E75CFF">
        <w:rPr>
          <w:rFonts w:ascii="Cambria" w:hAnsi="Cambria"/>
          <w:color w:val="000000" w:themeColor="text1"/>
        </w:rPr>
        <w:t>actualisation</w:t>
      </w:r>
      <w:proofErr w:type="spellEnd"/>
      <w:r w:rsidRPr="00E75CFF">
        <w:rPr>
          <w:rFonts w:ascii="Cambria" w:hAnsi="Cambria"/>
          <w:color w:val="000000" w:themeColor="text1"/>
        </w:rPr>
        <w:t xml:space="preserve"> de </w:t>
      </w:r>
      <w:proofErr w:type="spellStart"/>
      <w:r w:rsidRPr="00E75CFF">
        <w:rPr>
          <w:rFonts w:ascii="Cambria" w:hAnsi="Cambria"/>
          <w:color w:val="000000" w:themeColor="text1"/>
        </w:rPr>
        <w:t>l’état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financière</w:t>
      </w:r>
      <w:proofErr w:type="spellEnd"/>
      <w:r w:rsidRPr="00E75CFF">
        <w:rPr>
          <w:rFonts w:ascii="Cambria" w:hAnsi="Cambria"/>
          <w:color w:val="000000" w:themeColor="text1"/>
        </w:rPr>
        <w:t xml:space="preserve"> du </w:t>
      </w:r>
      <w:proofErr w:type="spellStart"/>
      <w:r w:rsidRPr="00E75CFF">
        <w:rPr>
          <w:rFonts w:ascii="Cambria" w:hAnsi="Cambria"/>
          <w:color w:val="000000" w:themeColor="text1"/>
        </w:rPr>
        <w:t>projet</w:t>
      </w:r>
      <w:proofErr w:type="spellEnd"/>
      <w:r w:rsidRPr="00E75CFF">
        <w:rPr>
          <w:rFonts w:ascii="Cambria" w:hAnsi="Cambria"/>
          <w:color w:val="000000" w:themeColor="text1"/>
        </w:rPr>
        <w:t xml:space="preserve"> e-VAL </w:t>
      </w:r>
      <w:proofErr w:type="spellStart"/>
      <w:r w:rsidRPr="00E75CFF">
        <w:rPr>
          <w:rFonts w:ascii="Cambria" w:hAnsi="Cambria"/>
          <w:color w:val="000000" w:themeColor="text1"/>
        </w:rPr>
        <w:t>après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l’extension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approuve</w:t>
      </w:r>
      <w:proofErr w:type="spellEnd"/>
      <w:r w:rsidRPr="00E75CFF">
        <w:rPr>
          <w:rFonts w:ascii="Cambria" w:hAnsi="Cambria"/>
          <w:color w:val="000000" w:themeColor="text1"/>
        </w:rPr>
        <w:t xml:space="preserve">́ par la </w:t>
      </w:r>
      <w:proofErr w:type="spellStart"/>
      <w:r w:rsidRPr="00E75CFF">
        <w:rPr>
          <w:rFonts w:ascii="Cambria" w:hAnsi="Cambria"/>
          <w:color w:val="000000" w:themeColor="text1"/>
        </w:rPr>
        <w:t>Commission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Européenne</w:t>
      </w:r>
      <w:proofErr w:type="spellEnd"/>
      <w:r w:rsidRPr="00E75CFF">
        <w:rPr>
          <w:rFonts w:ascii="Cambria" w:hAnsi="Cambria"/>
          <w:color w:val="000000" w:themeColor="text1"/>
        </w:rPr>
        <w:t xml:space="preserve">. </w:t>
      </w:r>
    </w:p>
    <w:p w:rsidR="00E75CFF" w:rsidRPr="00E75CFF" w:rsidRDefault="00E75CFF" w:rsidP="00E75CFF">
      <w:pPr>
        <w:pStyle w:val="NormalWeb"/>
        <w:numPr>
          <w:ilvl w:val="1"/>
          <w:numId w:val="2"/>
        </w:numPr>
        <w:rPr>
          <w:color w:val="000000" w:themeColor="text1"/>
          <w:sz w:val="22"/>
          <w:szCs w:val="22"/>
        </w:rPr>
      </w:pPr>
      <w:proofErr w:type="spellStart"/>
      <w:r w:rsidRPr="00E75CFF">
        <w:rPr>
          <w:color w:val="000000" w:themeColor="text1"/>
          <w:sz w:val="22"/>
          <w:szCs w:val="22"/>
        </w:rPr>
        <w:t>Présentation</w:t>
      </w:r>
      <w:proofErr w:type="spellEnd"/>
      <w:r w:rsidRPr="00E75CFF">
        <w:rPr>
          <w:color w:val="000000" w:themeColor="text1"/>
          <w:sz w:val="22"/>
          <w:szCs w:val="22"/>
        </w:rPr>
        <w:t xml:space="preserve"> des </w:t>
      </w:r>
      <w:proofErr w:type="spellStart"/>
      <w:r w:rsidRPr="00E75CFF">
        <w:rPr>
          <w:color w:val="000000" w:themeColor="text1"/>
          <w:sz w:val="22"/>
          <w:szCs w:val="22"/>
        </w:rPr>
        <w:t>activités</w:t>
      </w:r>
      <w:proofErr w:type="spellEnd"/>
      <w:r w:rsidRPr="00E75CFF">
        <w:rPr>
          <w:color w:val="000000" w:themeColor="text1"/>
          <w:sz w:val="22"/>
          <w:szCs w:val="22"/>
        </w:rPr>
        <w:t xml:space="preserve"> </w:t>
      </w:r>
      <w:proofErr w:type="spellStart"/>
      <w:r w:rsidRPr="00E75CFF">
        <w:rPr>
          <w:color w:val="000000" w:themeColor="text1"/>
          <w:sz w:val="22"/>
          <w:szCs w:val="22"/>
        </w:rPr>
        <w:t>réalisées</w:t>
      </w:r>
      <w:proofErr w:type="spellEnd"/>
      <w:r w:rsidRPr="00E75CFF">
        <w:rPr>
          <w:color w:val="000000" w:themeColor="text1"/>
          <w:sz w:val="22"/>
          <w:szCs w:val="22"/>
        </w:rPr>
        <w:t xml:space="preserve"> (</w:t>
      </w:r>
      <w:proofErr w:type="spellStart"/>
      <w:r w:rsidRPr="00E75CFF">
        <w:rPr>
          <w:color w:val="000000" w:themeColor="text1"/>
          <w:sz w:val="22"/>
          <w:szCs w:val="22"/>
        </w:rPr>
        <w:t>depuis</w:t>
      </w:r>
      <w:proofErr w:type="spellEnd"/>
      <w:r w:rsidRPr="00E75CFF">
        <w:rPr>
          <w:color w:val="000000" w:themeColor="text1"/>
          <w:sz w:val="22"/>
          <w:szCs w:val="22"/>
        </w:rPr>
        <w:t xml:space="preserve"> </w:t>
      </w:r>
      <w:proofErr w:type="spellStart"/>
      <w:r w:rsidRPr="00E75CFF">
        <w:rPr>
          <w:color w:val="000000" w:themeColor="text1"/>
          <w:sz w:val="22"/>
          <w:szCs w:val="22"/>
        </w:rPr>
        <w:t>novembre</w:t>
      </w:r>
      <w:proofErr w:type="spellEnd"/>
      <w:r w:rsidRPr="00E75CFF">
        <w:rPr>
          <w:color w:val="000000" w:themeColor="text1"/>
          <w:sz w:val="22"/>
          <w:szCs w:val="22"/>
        </w:rPr>
        <w:t xml:space="preserve"> 2018). </w:t>
      </w:r>
      <w:proofErr w:type="spellStart"/>
      <w:r w:rsidRPr="00E75CFF">
        <w:rPr>
          <w:rFonts w:ascii="Cambria" w:hAnsi="Cambria"/>
          <w:color w:val="000000" w:themeColor="text1"/>
        </w:rPr>
        <w:t>Amel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Nejjari</w:t>
      </w:r>
      <w:proofErr w:type="spellEnd"/>
      <w:r w:rsidRPr="00E75CFF">
        <w:rPr>
          <w:rFonts w:ascii="Cambria" w:hAnsi="Cambria"/>
          <w:color w:val="000000" w:themeColor="text1"/>
        </w:rPr>
        <w:t xml:space="preserve"> (UAE) / Mohamed </w:t>
      </w:r>
      <w:proofErr w:type="spellStart"/>
      <w:r w:rsidRPr="00E75CFF">
        <w:rPr>
          <w:rFonts w:ascii="Cambria" w:hAnsi="Cambria"/>
          <w:color w:val="000000" w:themeColor="text1"/>
        </w:rPr>
        <w:t>Yassin</w:t>
      </w:r>
      <w:proofErr w:type="spellEnd"/>
      <w:r w:rsidRPr="00E75CFF">
        <w:rPr>
          <w:rFonts w:ascii="Cambria" w:hAnsi="Cambria"/>
          <w:color w:val="000000" w:themeColor="text1"/>
        </w:rPr>
        <w:t xml:space="preserve"> </w:t>
      </w:r>
      <w:proofErr w:type="spellStart"/>
      <w:r w:rsidRPr="00E75CFF">
        <w:rPr>
          <w:rFonts w:ascii="Cambria" w:hAnsi="Cambria"/>
          <w:color w:val="000000" w:themeColor="text1"/>
        </w:rPr>
        <w:t>Chkouri</w:t>
      </w:r>
      <w:proofErr w:type="spellEnd"/>
      <w:r w:rsidRPr="00E75CFF">
        <w:rPr>
          <w:rFonts w:ascii="Cambria" w:hAnsi="Cambria"/>
          <w:color w:val="000000" w:themeColor="text1"/>
        </w:rPr>
        <w:t xml:space="preserve"> (UAE) </w:t>
      </w:r>
    </w:p>
    <w:p w:rsidR="00E75CFF" w:rsidRPr="00E75CFF" w:rsidRDefault="00E75CFF" w:rsidP="00E75CFF">
      <w:pPr>
        <w:pStyle w:val="NormalWeb"/>
        <w:numPr>
          <w:ilvl w:val="1"/>
          <w:numId w:val="2"/>
        </w:numPr>
        <w:rPr>
          <w:color w:val="000000" w:themeColor="text1"/>
          <w:sz w:val="22"/>
          <w:szCs w:val="22"/>
        </w:rPr>
      </w:pPr>
      <w:proofErr w:type="spellStart"/>
      <w:r w:rsidRPr="00E75CFF">
        <w:rPr>
          <w:color w:val="000000" w:themeColor="text1"/>
          <w:sz w:val="22"/>
          <w:szCs w:val="22"/>
        </w:rPr>
        <w:t>Présentation</w:t>
      </w:r>
      <w:proofErr w:type="spellEnd"/>
      <w:r w:rsidRPr="00E75CFF">
        <w:rPr>
          <w:color w:val="000000" w:themeColor="text1"/>
          <w:sz w:val="22"/>
          <w:szCs w:val="22"/>
        </w:rPr>
        <w:t xml:space="preserve"> du plan de </w:t>
      </w:r>
      <w:proofErr w:type="spellStart"/>
      <w:r w:rsidRPr="00E75CFF">
        <w:rPr>
          <w:color w:val="000000" w:themeColor="text1"/>
          <w:sz w:val="22"/>
          <w:szCs w:val="22"/>
        </w:rPr>
        <w:t>travail</w:t>
      </w:r>
      <w:proofErr w:type="spellEnd"/>
      <w:r w:rsidRPr="00E75CFF">
        <w:rPr>
          <w:color w:val="000000" w:themeColor="text1"/>
          <w:sz w:val="22"/>
          <w:szCs w:val="22"/>
        </w:rPr>
        <w:t xml:space="preserve"> et </w:t>
      </w:r>
      <w:proofErr w:type="spellStart"/>
      <w:r w:rsidRPr="00E75CFF">
        <w:rPr>
          <w:color w:val="000000" w:themeColor="text1"/>
          <w:sz w:val="22"/>
          <w:szCs w:val="22"/>
        </w:rPr>
        <w:t>future</w:t>
      </w:r>
      <w:proofErr w:type="spellEnd"/>
      <w:r w:rsidRPr="00E75CFF">
        <w:rPr>
          <w:color w:val="000000" w:themeColor="text1"/>
          <w:sz w:val="22"/>
          <w:szCs w:val="22"/>
        </w:rPr>
        <w:t xml:space="preserve"> </w:t>
      </w:r>
      <w:proofErr w:type="spellStart"/>
      <w:r w:rsidRPr="00E75CFF">
        <w:rPr>
          <w:color w:val="000000" w:themeColor="text1"/>
          <w:sz w:val="22"/>
          <w:szCs w:val="22"/>
        </w:rPr>
        <w:t>activités</w:t>
      </w:r>
      <w:proofErr w:type="spellEnd"/>
      <w:r w:rsidRPr="00E75CFF">
        <w:rPr>
          <w:color w:val="000000" w:themeColor="text1"/>
          <w:sz w:val="22"/>
          <w:szCs w:val="22"/>
        </w:rPr>
        <w:t xml:space="preserve">. Mohamed </w:t>
      </w:r>
      <w:proofErr w:type="spellStart"/>
      <w:r w:rsidRPr="00E75CFF">
        <w:rPr>
          <w:color w:val="000000" w:themeColor="text1"/>
          <w:sz w:val="22"/>
          <w:szCs w:val="22"/>
        </w:rPr>
        <w:t>Yassin</w:t>
      </w:r>
      <w:proofErr w:type="spellEnd"/>
      <w:r w:rsidRPr="00E75CFF">
        <w:rPr>
          <w:color w:val="000000" w:themeColor="text1"/>
          <w:sz w:val="22"/>
          <w:szCs w:val="22"/>
        </w:rPr>
        <w:t xml:space="preserve"> </w:t>
      </w:r>
      <w:proofErr w:type="spellStart"/>
      <w:r w:rsidRPr="00E75CFF">
        <w:rPr>
          <w:color w:val="000000" w:themeColor="text1"/>
          <w:sz w:val="22"/>
          <w:szCs w:val="22"/>
        </w:rPr>
        <w:t>Chkouri</w:t>
      </w:r>
      <w:proofErr w:type="spellEnd"/>
      <w:r w:rsidRPr="00E75CFF">
        <w:rPr>
          <w:color w:val="000000" w:themeColor="text1"/>
          <w:sz w:val="22"/>
          <w:szCs w:val="22"/>
        </w:rPr>
        <w:t xml:space="preserve"> (UAE) / </w:t>
      </w:r>
      <w:proofErr w:type="spellStart"/>
      <w:r w:rsidRPr="00E75CFF">
        <w:rPr>
          <w:color w:val="000000" w:themeColor="text1"/>
          <w:sz w:val="22"/>
          <w:szCs w:val="22"/>
        </w:rPr>
        <w:t>Amel</w:t>
      </w:r>
      <w:proofErr w:type="spellEnd"/>
      <w:r w:rsidRPr="00E75CFF">
        <w:rPr>
          <w:color w:val="000000" w:themeColor="text1"/>
          <w:sz w:val="22"/>
          <w:szCs w:val="22"/>
        </w:rPr>
        <w:t xml:space="preserve"> </w:t>
      </w:r>
      <w:proofErr w:type="spellStart"/>
      <w:r w:rsidRPr="00E75CFF">
        <w:rPr>
          <w:color w:val="000000" w:themeColor="text1"/>
          <w:sz w:val="22"/>
          <w:szCs w:val="22"/>
        </w:rPr>
        <w:t>Nejjari</w:t>
      </w:r>
      <w:proofErr w:type="spellEnd"/>
      <w:r w:rsidRPr="00E75CFF">
        <w:rPr>
          <w:color w:val="000000" w:themeColor="text1"/>
          <w:sz w:val="22"/>
          <w:szCs w:val="22"/>
        </w:rPr>
        <w:t xml:space="preserve"> (UAE) </w:t>
      </w:r>
    </w:p>
    <w:p w:rsidR="0094030D" w:rsidRPr="0094030D" w:rsidRDefault="0094030D" w:rsidP="0094030D">
      <w:pPr>
        <w:numPr>
          <w:ilvl w:val="0"/>
          <w:numId w:val="2"/>
        </w:numPr>
        <w:tabs>
          <w:tab w:val="num" w:pos="720"/>
        </w:tabs>
        <w:rPr>
          <w:lang w:val="fr-FR"/>
        </w:rPr>
      </w:pPr>
      <w:r w:rsidRPr="0094030D">
        <w:rPr>
          <w:lang w:val="fr-FR"/>
        </w:rPr>
        <w:t>La traduction de la plateforme en arabe sera effectuée une fois la plateforme e-VAL est stabilisée.</w:t>
      </w:r>
    </w:p>
    <w:p w:rsidR="0094030D" w:rsidRPr="0094030D" w:rsidRDefault="0094030D" w:rsidP="0094030D">
      <w:pPr>
        <w:numPr>
          <w:ilvl w:val="0"/>
          <w:numId w:val="2"/>
        </w:numPr>
        <w:tabs>
          <w:tab w:val="num" w:pos="720"/>
        </w:tabs>
        <w:rPr>
          <w:lang w:val="fr-FR"/>
        </w:rPr>
      </w:pPr>
      <w:r w:rsidRPr="0094030D">
        <w:rPr>
          <w:lang w:val="fr-FR"/>
        </w:rPr>
        <w:t xml:space="preserve">Suite à </w:t>
      </w:r>
      <w:proofErr w:type="spellStart"/>
      <w:r w:rsidRPr="0094030D">
        <w:rPr>
          <w:lang w:val="fr-FR"/>
        </w:rPr>
        <w:t>l’élargissement</w:t>
      </w:r>
      <w:proofErr w:type="spellEnd"/>
      <w:r w:rsidRPr="0094030D">
        <w:rPr>
          <w:lang w:val="fr-FR"/>
        </w:rPr>
        <w:t xml:space="preserve"> de l’accès à la plateforme e-Val à tous les partenaires, des ateliers de formation internationaux sur la plateforme seront organisés pour les étudiants, les enseignants, les administratifs, et les socioprofessionnels.</w:t>
      </w:r>
    </w:p>
    <w:p w:rsidR="0094030D" w:rsidRPr="0094030D" w:rsidRDefault="0094030D" w:rsidP="0094030D">
      <w:pPr>
        <w:numPr>
          <w:ilvl w:val="0"/>
          <w:numId w:val="2"/>
        </w:numPr>
        <w:tabs>
          <w:tab w:val="num" w:pos="720"/>
        </w:tabs>
        <w:rPr>
          <w:lang w:val="fr-FR"/>
        </w:rPr>
      </w:pPr>
      <w:r w:rsidRPr="0094030D">
        <w:rPr>
          <w:lang w:val="fr-FR"/>
        </w:rPr>
        <w:t>Ces ateliers de formation seront organisés au sein de chaque université marocaine partenaire par tous les partenaires marocains entre le 15 octobre et le 15 novembre 2019.</w:t>
      </w:r>
    </w:p>
    <w:p w:rsidR="0094030D" w:rsidRPr="0094030D" w:rsidRDefault="0094030D" w:rsidP="0094030D">
      <w:pPr>
        <w:numPr>
          <w:ilvl w:val="0"/>
          <w:numId w:val="2"/>
        </w:numPr>
        <w:tabs>
          <w:tab w:val="num" w:pos="720"/>
        </w:tabs>
        <w:rPr>
          <w:lang w:val="fr-FR"/>
        </w:rPr>
      </w:pPr>
      <w:r w:rsidRPr="0094030D">
        <w:rPr>
          <w:lang w:val="fr-FR"/>
        </w:rPr>
        <w:t>L’expérimentation à grande échelle sera effectuée par tous les partenaires Marocains</w:t>
      </w:r>
    </w:p>
    <w:p w:rsidR="0094030D" w:rsidRPr="0094030D" w:rsidRDefault="0094030D" w:rsidP="0094030D">
      <w:pPr>
        <w:numPr>
          <w:ilvl w:val="1"/>
          <w:numId w:val="2"/>
        </w:numPr>
        <w:rPr>
          <w:lang w:val="fr-FR"/>
        </w:rPr>
      </w:pPr>
      <w:r w:rsidRPr="0094030D">
        <w:rPr>
          <w:lang w:val="fr-FR"/>
        </w:rPr>
        <w:t>entre le 15 novembre et le 15 décembre 2019 en français</w:t>
      </w:r>
    </w:p>
    <w:p w:rsidR="0094030D" w:rsidRPr="0094030D" w:rsidRDefault="0094030D" w:rsidP="0094030D">
      <w:pPr>
        <w:numPr>
          <w:ilvl w:val="1"/>
          <w:numId w:val="2"/>
        </w:numPr>
        <w:rPr>
          <w:lang w:val="fr-FR"/>
        </w:rPr>
      </w:pPr>
      <w:r w:rsidRPr="0094030D">
        <w:rPr>
          <w:lang w:val="fr-FR"/>
        </w:rPr>
        <w:t>entre le 15 mars et le 15 avril 2020 en arabe.</w:t>
      </w:r>
    </w:p>
    <w:p w:rsidR="0094030D" w:rsidRPr="0094030D" w:rsidRDefault="0094030D" w:rsidP="0094030D">
      <w:pPr>
        <w:numPr>
          <w:ilvl w:val="0"/>
          <w:numId w:val="2"/>
        </w:numPr>
        <w:tabs>
          <w:tab w:val="num" w:pos="720"/>
        </w:tabs>
        <w:rPr>
          <w:color w:val="FF0000"/>
          <w:lang w:val="fr-FR"/>
        </w:rPr>
      </w:pPr>
      <w:r w:rsidRPr="0094030D">
        <w:rPr>
          <w:color w:val="FF0000"/>
          <w:lang w:val="fr-FR"/>
        </w:rPr>
        <w:lastRenderedPageBreak/>
        <w:t xml:space="preserve">Bon pratique de </w:t>
      </w:r>
      <w:r>
        <w:rPr>
          <w:color w:val="FF0000"/>
          <w:lang w:val="fr-FR"/>
        </w:rPr>
        <w:t>« </w:t>
      </w:r>
      <w:proofErr w:type="spellStart"/>
      <w:r>
        <w:rPr>
          <w:color w:val="FF0000"/>
          <w:lang w:val="fr-FR"/>
        </w:rPr>
        <w:t>scalability</w:t>
      </w:r>
      <w:proofErr w:type="spellEnd"/>
      <w:r>
        <w:rPr>
          <w:color w:val="FF0000"/>
          <w:lang w:val="fr-FR"/>
        </w:rPr>
        <w:t> »</w:t>
      </w:r>
    </w:p>
    <w:p w:rsidR="0094030D" w:rsidRDefault="0094030D" w:rsidP="0094030D">
      <w:pPr>
        <w:tabs>
          <w:tab w:val="num" w:pos="720"/>
        </w:tabs>
        <w:ind w:left="360"/>
      </w:pPr>
    </w:p>
    <w:p w:rsidR="00E75CFF" w:rsidRDefault="0094030D" w:rsidP="00E75CFF">
      <w:pPr>
        <w:numPr>
          <w:ilvl w:val="0"/>
          <w:numId w:val="2"/>
        </w:numPr>
        <w:tabs>
          <w:tab w:val="num" w:pos="720"/>
        </w:tabs>
      </w:pPr>
      <w:r w:rsidRPr="00E75CFF">
        <w:rPr>
          <w:lang w:val="fr-FR"/>
        </w:rPr>
        <w:t xml:space="preserve">Évaluation très positive de la cohésion du groupe existant pour donner une réponse </w:t>
      </w:r>
      <w:proofErr w:type="spellStart"/>
      <w:r w:rsidRPr="00E75CFF">
        <w:rPr>
          <w:lang w:val="fr-FR"/>
        </w:rPr>
        <w:t>lunanime</w:t>
      </w:r>
      <w:proofErr w:type="spellEnd"/>
      <w:r w:rsidRPr="00E75CFF">
        <w:rPr>
          <w:lang w:val="fr-FR"/>
        </w:rPr>
        <w:t xml:space="preserve"> aux moments critiques de la vie </w:t>
      </w:r>
      <w:r w:rsidRPr="00E75CFF">
        <w:rPr>
          <w:lang w:val="fr-FR"/>
        </w:rPr>
        <w:t xml:space="preserve">du projet. </w:t>
      </w:r>
      <w:r w:rsidRPr="00E75CFF">
        <w:t> </w:t>
      </w:r>
    </w:p>
    <w:p w:rsidR="0094030D" w:rsidRPr="0094030D" w:rsidRDefault="0094030D" w:rsidP="0094030D">
      <w:pPr>
        <w:pStyle w:val="Prrafodelista"/>
        <w:numPr>
          <w:ilvl w:val="0"/>
          <w:numId w:val="2"/>
        </w:numPr>
        <w:autoSpaceDE w:val="0"/>
        <w:autoSpaceDN w:val="0"/>
        <w:adjustRightInd w:val="0"/>
        <w:rPr>
          <w:lang w:val="fr-FR"/>
        </w:rPr>
      </w:pPr>
      <w:proofErr w:type="spellStart"/>
      <w:r w:rsidRPr="0094030D">
        <w:rPr>
          <w:lang w:val="fr-FR"/>
        </w:rPr>
        <w:t>Preparation</w:t>
      </w:r>
      <w:proofErr w:type="spellEnd"/>
      <w:r w:rsidRPr="0094030D">
        <w:rPr>
          <w:lang w:val="fr-FR"/>
        </w:rPr>
        <w:t xml:space="preserve"> des centre d’</w:t>
      </w:r>
      <w:proofErr w:type="spellStart"/>
      <w:r w:rsidRPr="0094030D">
        <w:rPr>
          <w:lang w:val="fr-FR"/>
        </w:rPr>
        <w:t>experimentation</w:t>
      </w:r>
      <w:proofErr w:type="spellEnd"/>
      <w:r w:rsidRPr="0094030D">
        <w:rPr>
          <w:lang w:val="fr-FR"/>
        </w:rPr>
        <w:t xml:space="preserve">. </w:t>
      </w:r>
      <w:r>
        <w:rPr>
          <w:lang w:val="fr-FR"/>
        </w:rPr>
        <w:t>Retard dans</w:t>
      </w:r>
      <w:r w:rsidRPr="0094030D">
        <w:rPr>
          <w:lang w:val="fr-FR"/>
        </w:rPr>
        <w:t xml:space="preserve"> l</w:t>
      </w:r>
      <w:r>
        <w:rPr>
          <w:lang w:val="fr-FR"/>
        </w:rPr>
        <w:t>´</w:t>
      </w:r>
      <w:r w:rsidRPr="0094030D">
        <w:rPr>
          <w:lang w:val="fr-FR"/>
        </w:rPr>
        <w:t xml:space="preserve">achat et installation du matériel pour toutes les universités marocaines partenaires (15 </w:t>
      </w:r>
      <w:proofErr w:type="spellStart"/>
      <w:r w:rsidRPr="0094030D">
        <w:rPr>
          <w:lang w:val="fr-FR"/>
        </w:rPr>
        <w:t>septembre</w:t>
      </w:r>
      <w:proofErr w:type="spellEnd"/>
      <w:r w:rsidRPr="0094030D">
        <w:rPr>
          <w:lang w:val="fr-FR"/>
        </w:rPr>
        <w:t xml:space="preserve"> - 15 </w:t>
      </w:r>
      <w:proofErr w:type="spellStart"/>
      <w:r w:rsidRPr="0094030D">
        <w:rPr>
          <w:lang w:val="fr-FR"/>
        </w:rPr>
        <w:t>octobre</w:t>
      </w:r>
      <w:proofErr w:type="spellEnd"/>
      <w:r w:rsidRPr="0094030D">
        <w:rPr>
          <w:lang w:val="fr-FR"/>
        </w:rPr>
        <w:t xml:space="preserve"> 2019).</w:t>
      </w:r>
    </w:p>
    <w:p w:rsidR="0094030D" w:rsidRDefault="0094030D" w:rsidP="0094030D">
      <w:pPr>
        <w:tabs>
          <w:tab w:val="num" w:pos="720"/>
        </w:tabs>
        <w:ind w:left="360"/>
      </w:pPr>
    </w:p>
    <w:p w:rsidR="00E75CFF" w:rsidRPr="00E75CFF" w:rsidRDefault="00E75CFF" w:rsidP="00E75CFF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 w:rsidRPr="00E75CFF">
        <w:rPr>
          <w:lang w:val="fr-FR"/>
        </w:rPr>
        <w:t>Qualité des activités, programme et coordination</w:t>
      </w:r>
      <w:r w:rsidRPr="00E75CFF">
        <w:rPr>
          <w:lang w:val="fr-FR"/>
        </w:rPr>
        <w:t> :</w:t>
      </w:r>
    </w:p>
    <w:p w:rsidR="00E75CFF" w:rsidRPr="00E75CFF" w:rsidRDefault="00E75CFF" w:rsidP="00E75CFF">
      <w:pPr>
        <w:rPr>
          <w:lang w:val="en-US"/>
        </w:rPr>
      </w:pPr>
    </w:p>
    <w:p w:rsidR="00000000" w:rsidRPr="00E75CFF" w:rsidRDefault="0094030D" w:rsidP="0094030D">
      <w:pPr>
        <w:ind w:left="360"/>
      </w:pPr>
      <w:r w:rsidRPr="00E75CFF">
        <w:t>“</w:t>
      </w:r>
      <w:proofErr w:type="spellStart"/>
      <w:r w:rsidRPr="00E75CFF">
        <w:t>Plateforme</w:t>
      </w:r>
      <w:proofErr w:type="spellEnd"/>
      <w:r w:rsidRPr="00E75CFF">
        <w:t xml:space="preserve"> e-VAL: </w:t>
      </w:r>
      <w:proofErr w:type="spellStart"/>
      <w:r w:rsidRPr="00E75CFF">
        <w:t>Etude</w:t>
      </w:r>
      <w:proofErr w:type="spellEnd"/>
      <w:r w:rsidRPr="00E75CFF">
        <w:t xml:space="preserve"> </w:t>
      </w:r>
      <w:proofErr w:type="spellStart"/>
      <w:r w:rsidRPr="00E75CFF">
        <w:t>d’usabilité</w:t>
      </w:r>
      <w:proofErr w:type="spellEnd"/>
      <w:r w:rsidRPr="00E75CFF">
        <w:t>”: LE RÉSULTAT EST BON</w:t>
      </w:r>
    </w:p>
    <w:p w:rsidR="00E75CFF" w:rsidRDefault="00E75CFF" w:rsidP="00E75CFF"/>
    <w:p w:rsidR="0094030D" w:rsidRPr="0094030D" w:rsidRDefault="0094030D" w:rsidP="0094030D">
      <w:pPr>
        <w:numPr>
          <w:ilvl w:val="1"/>
          <w:numId w:val="5"/>
        </w:numPr>
        <w:rPr>
          <w:color w:val="000000" w:themeColor="text1"/>
        </w:rPr>
      </w:pPr>
      <w:r w:rsidRPr="0094030D">
        <w:rPr>
          <w:color w:val="000000" w:themeColor="text1"/>
        </w:rPr>
        <w:t xml:space="preserve">3 </w:t>
      </w:r>
      <w:proofErr w:type="spellStart"/>
      <w:r w:rsidRPr="0094030D">
        <w:rPr>
          <w:color w:val="000000" w:themeColor="text1"/>
        </w:rPr>
        <w:t>universités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avaient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été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prévues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pour</w:t>
      </w:r>
      <w:proofErr w:type="spellEnd"/>
      <w:r w:rsidRPr="0094030D">
        <w:rPr>
          <w:color w:val="000000" w:themeColor="text1"/>
        </w:rPr>
        <w:t xml:space="preserve"> la </w:t>
      </w:r>
      <w:proofErr w:type="spellStart"/>
      <w:r w:rsidRPr="0094030D">
        <w:rPr>
          <w:color w:val="000000" w:themeColor="text1"/>
        </w:rPr>
        <w:t>première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expérimentation</w:t>
      </w:r>
      <w:proofErr w:type="spellEnd"/>
    </w:p>
    <w:p w:rsidR="0094030D" w:rsidRPr="0094030D" w:rsidRDefault="0094030D" w:rsidP="0094030D">
      <w:pPr>
        <w:pStyle w:val="NormalWeb"/>
        <w:numPr>
          <w:ilvl w:val="2"/>
          <w:numId w:val="5"/>
        </w:numPr>
        <w:rPr>
          <w:color w:val="000000" w:themeColor="text1"/>
          <w:sz w:val="22"/>
          <w:szCs w:val="22"/>
        </w:rPr>
      </w:pPr>
      <w:proofErr w:type="spellStart"/>
      <w:r w:rsidRPr="0094030D">
        <w:rPr>
          <w:rFonts w:ascii="Cambria" w:hAnsi="Cambria"/>
          <w:color w:val="000000" w:themeColor="text1"/>
        </w:rPr>
        <w:t>Présentation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de la </w:t>
      </w:r>
      <w:proofErr w:type="spellStart"/>
      <w:r w:rsidRPr="0094030D">
        <w:rPr>
          <w:rFonts w:ascii="Cambria" w:hAnsi="Cambria"/>
          <w:color w:val="000000" w:themeColor="text1"/>
        </w:rPr>
        <w:t>procédure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d’expérimentation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de la </w:t>
      </w:r>
      <w:proofErr w:type="spellStart"/>
      <w:r w:rsidRPr="0094030D">
        <w:rPr>
          <w:rFonts w:ascii="Cambria" w:hAnsi="Cambria"/>
          <w:color w:val="000000" w:themeColor="text1"/>
        </w:rPr>
        <w:t>plateforme</w:t>
      </w:r>
      <w:proofErr w:type="spellEnd"/>
      <w:r w:rsidRPr="0094030D">
        <w:rPr>
          <w:rFonts w:ascii="Cambria" w:hAnsi="Cambria"/>
          <w:color w:val="000000" w:themeColor="text1"/>
        </w:rPr>
        <w:t xml:space="preserve"> (WP.5) et </w:t>
      </w:r>
      <w:proofErr w:type="spellStart"/>
      <w:r w:rsidRPr="0094030D">
        <w:rPr>
          <w:rFonts w:ascii="Cambria" w:hAnsi="Cambria"/>
          <w:color w:val="000000" w:themeColor="text1"/>
        </w:rPr>
        <w:t>Présentation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des </w:t>
      </w:r>
      <w:proofErr w:type="spellStart"/>
      <w:r w:rsidRPr="0094030D">
        <w:rPr>
          <w:rFonts w:ascii="Cambria" w:hAnsi="Cambria"/>
          <w:color w:val="000000" w:themeColor="text1"/>
        </w:rPr>
        <w:t>résultats</w:t>
      </w:r>
      <w:proofErr w:type="spellEnd"/>
      <w:r w:rsidRPr="0094030D">
        <w:rPr>
          <w:rFonts w:ascii="Cambria" w:hAnsi="Cambria"/>
          <w:color w:val="000000" w:themeColor="text1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</w:rPr>
        <w:t>l’expérimentation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(WP.5) (UBM): </w:t>
      </w:r>
      <w:r w:rsidRPr="0094030D">
        <w:rPr>
          <w:color w:val="000000" w:themeColor="text1"/>
        </w:rPr>
        <w:t>“</w:t>
      </w:r>
      <w:proofErr w:type="spellStart"/>
      <w:r w:rsidRPr="0094030D">
        <w:rPr>
          <w:color w:val="000000" w:themeColor="text1"/>
        </w:rPr>
        <w:t>Plateforme</w:t>
      </w:r>
      <w:proofErr w:type="spellEnd"/>
      <w:r w:rsidRPr="0094030D">
        <w:rPr>
          <w:color w:val="000000" w:themeColor="text1"/>
        </w:rPr>
        <w:t xml:space="preserve"> e-VAL: </w:t>
      </w:r>
      <w:proofErr w:type="spellStart"/>
      <w:r w:rsidRPr="0094030D">
        <w:rPr>
          <w:color w:val="000000" w:themeColor="text1"/>
        </w:rPr>
        <w:t>Etude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d’usabilité</w:t>
      </w:r>
      <w:proofErr w:type="spellEnd"/>
      <w:r w:rsidRPr="0094030D">
        <w:rPr>
          <w:color w:val="000000" w:themeColor="text1"/>
        </w:rPr>
        <w:t xml:space="preserve">”. La actividad presentada por </w:t>
      </w:r>
      <w:proofErr w:type="spellStart"/>
      <w:r w:rsidRPr="0094030D">
        <w:rPr>
          <w:color w:val="000000" w:themeColor="text1"/>
        </w:rPr>
        <w:t>Soufiane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Rouissi</w:t>
      </w:r>
      <w:proofErr w:type="spellEnd"/>
      <w:r w:rsidRPr="0094030D">
        <w:rPr>
          <w:color w:val="000000" w:themeColor="text1"/>
        </w:rPr>
        <w:t xml:space="preserve">, de la </w:t>
      </w:r>
      <w:proofErr w:type="spellStart"/>
      <w:r w:rsidRPr="0094030D">
        <w:rPr>
          <w:color w:val="000000" w:themeColor="text1"/>
        </w:rPr>
        <w:t>Université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Bordeaux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Montaige</w:t>
      </w:r>
      <w:proofErr w:type="spellEnd"/>
      <w:r w:rsidRPr="0094030D">
        <w:rPr>
          <w:color w:val="000000" w:themeColor="text1"/>
        </w:rPr>
        <w:t>, en la que demuestra que LE RÉSULTAT EST BON.</w:t>
      </w:r>
    </w:p>
    <w:p w:rsidR="0094030D" w:rsidRPr="0094030D" w:rsidRDefault="0094030D" w:rsidP="0094030D">
      <w:pPr>
        <w:pStyle w:val="NormalWeb"/>
        <w:numPr>
          <w:ilvl w:val="2"/>
          <w:numId w:val="5"/>
        </w:numPr>
        <w:rPr>
          <w:color w:val="000000" w:themeColor="text1"/>
        </w:rPr>
      </w:pPr>
      <w:proofErr w:type="spellStart"/>
      <w:r w:rsidRPr="0094030D">
        <w:rPr>
          <w:rFonts w:ascii="Cambria" w:hAnsi="Cambria"/>
          <w:color w:val="000000" w:themeColor="text1"/>
        </w:rPr>
        <w:t>Présentation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du </w:t>
      </w:r>
      <w:proofErr w:type="spellStart"/>
      <w:r w:rsidRPr="0094030D">
        <w:rPr>
          <w:rFonts w:ascii="Cambria" w:hAnsi="Cambria"/>
          <w:color w:val="000000" w:themeColor="text1"/>
        </w:rPr>
        <w:t>déroulement</w:t>
      </w:r>
      <w:proofErr w:type="spellEnd"/>
      <w:r w:rsidRPr="0094030D">
        <w:rPr>
          <w:rFonts w:ascii="Cambria" w:hAnsi="Cambria"/>
          <w:color w:val="000000" w:themeColor="text1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</w:rPr>
        <w:t>l’expérimentation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(WP.5) UAE : </w:t>
      </w:r>
      <w:proofErr w:type="spellStart"/>
      <w:r w:rsidRPr="0094030D">
        <w:rPr>
          <w:rFonts w:ascii="Cambria" w:hAnsi="Cambria"/>
          <w:color w:val="000000" w:themeColor="text1"/>
        </w:rPr>
        <w:t>Amel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Nejjari</w:t>
      </w:r>
      <w:proofErr w:type="spellEnd"/>
      <w:r w:rsidRPr="0094030D">
        <w:rPr>
          <w:rFonts w:ascii="Cambria" w:hAnsi="Cambria"/>
          <w:color w:val="000000" w:themeColor="text1"/>
        </w:rPr>
        <w:br/>
        <w:t xml:space="preserve">UIZ : </w:t>
      </w:r>
      <w:proofErr w:type="spellStart"/>
      <w:r w:rsidRPr="0094030D">
        <w:rPr>
          <w:rFonts w:ascii="Cambria" w:hAnsi="Cambria"/>
          <w:color w:val="000000" w:themeColor="text1"/>
        </w:rPr>
        <w:t>Zouhair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Mahani</w:t>
      </w:r>
      <w:proofErr w:type="spellEnd"/>
      <w:r w:rsidRPr="0094030D">
        <w:rPr>
          <w:rFonts w:ascii="Cambria" w:hAnsi="Cambria"/>
          <w:color w:val="000000" w:themeColor="text1"/>
        </w:rPr>
        <w:t xml:space="preserve">/ </w:t>
      </w:r>
      <w:proofErr w:type="spellStart"/>
      <w:r w:rsidRPr="0094030D">
        <w:rPr>
          <w:rFonts w:ascii="Cambria" w:hAnsi="Cambria"/>
          <w:color w:val="000000" w:themeColor="text1"/>
        </w:rPr>
        <w:t>Soufiane</w:t>
      </w:r>
      <w:proofErr w:type="spellEnd"/>
      <w:r w:rsidRPr="0094030D">
        <w:rPr>
          <w:rFonts w:ascii="Cambria" w:hAnsi="Cambria"/>
          <w:color w:val="000000" w:themeColor="text1"/>
        </w:rPr>
        <w:t xml:space="preserve"> ROUISSI (UBM) UIT : </w:t>
      </w:r>
      <w:proofErr w:type="spellStart"/>
      <w:r w:rsidRPr="0094030D">
        <w:rPr>
          <w:rFonts w:ascii="Cambria" w:hAnsi="Cambria"/>
          <w:color w:val="000000" w:themeColor="text1"/>
        </w:rPr>
        <w:t>Abdelaziz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Kribii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</w:p>
    <w:p w:rsidR="0094030D" w:rsidRPr="0094030D" w:rsidRDefault="0094030D" w:rsidP="0094030D">
      <w:pPr>
        <w:pStyle w:val="NormalWeb"/>
        <w:numPr>
          <w:ilvl w:val="2"/>
          <w:numId w:val="5"/>
        </w:numPr>
        <w:rPr>
          <w:color w:val="000000" w:themeColor="text1"/>
        </w:rPr>
      </w:pPr>
      <w:proofErr w:type="spellStart"/>
      <w:r w:rsidRPr="0094030D">
        <w:rPr>
          <w:rFonts w:ascii="Cambria" w:hAnsi="Cambria"/>
          <w:color w:val="000000" w:themeColor="text1"/>
        </w:rPr>
        <w:t>Activités</w:t>
      </w:r>
      <w:proofErr w:type="spellEnd"/>
      <w:r w:rsidRPr="0094030D">
        <w:rPr>
          <w:rFonts w:ascii="Cambria" w:hAnsi="Cambria"/>
          <w:color w:val="000000" w:themeColor="text1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</w:rPr>
        <w:t>dissémination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menées</w:t>
      </w:r>
      <w:proofErr w:type="spellEnd"/>
      <w:r w:rsidRPr="0094030D">
        <w:rPr>
          <w:rFonts w:ascii="Cambria" w:hAnsi="Cambria"/>
          <w:color w:val="000000" w:themeColor="text1"/>
        </w:rPr>
        <w:t xml:space="preserve"> par </w:t>
      </w:r>
      <w:proofErr w:type="spellStart"/>
      <w:r w:rsidRPr="0094030D">
        <w:rPr>
          <w:rFonts w:ascii="Cambria" w:hAnsi="Cambria"/>
          <w:color w:val="000000" w:themeColor="text1"/>
        </w:rPr>
        <w:t>chaque</w:t>
      </w:r>
      <w:proofErr w:type="spellEnd"/>
      <w:r w:rsidRPr="0094030D">
        <w:rPr>
          <w:rFonts w:ascii="Cambria" w:hAnsi="Cambria"/>
          <w:color w:val="000000" w:themeColor="text1"/>
        </w:rPr>
        <w:t xml:space="preserve"> </w:t>
      </w:r>
      <w:proofErr w:type="spellStart"/>
      <w:r w:rsidRPr="0094030D">
        <w:rPr>
          <w:rFonts w:ascii="Cambria" w:hAnsi="Cambria"/>
          <w:color w:val="000000" w:themeColor="text1"/>
        </w:rPr>
        <w:t>institution</w:t>
      </w:r>
      <w:proofErr w:type="spellEnd"/>
      <w:r w:rsidRPr="0094030D">
        <w:rPr>
          <w:rFonts w:ascii="Cambria" w:hAnsi="Cambria"/>
          <w:color w:val="000000" w:themeColor="text1"/>
        </w:rPr>
        <w:t xml:space="preserve"> partenaire </w:t>
      </w:r>
    </w:p>
    <w:p w:rsidR="0094030D" w:rsidRPr="0094030D" w:rsidRDefault="0094030D" w:rsidP="0094030D">
      <w:pPr>
        <w:numPr>
          <w:ilvl w:val="1"/>
          <w:numId w:val="5"/>
        </w:numPr>
        <w:rPr>
          <w:color w:val="000000" w:themeColor="text1"/>
        </w:rPr>
      </w:pPr>
      <w:r w:rsidRPr="0094030D">
        <w:rPr>
          <w:color w:val="000000" w:themeColor="text1"/>
        </w:rPr>
        <w:t xml:space="preserve">Robustez de </w:t>
      </w:r>
      <w:proofErr w:type="spellStart"/>
      <w:r w:rsidRPr="0094030D">
        <w:rPr>
          <w:color w:val="000000" w:themeColor="text1"/>
        </w:rPr>
        <w:t>questionnaire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utilisé</w:t>
      </w:r>
      <w:proofErr w:type="spellEnd"/>
      <w:r w:rsidRPr="0094030D">
        <w:rPr>
          <w:color w:val="000000" w:themeColor="text1"/>
        </w:rPr>
        <w:t xml:space="preserve"> “</w:t>
      </w:r>
      <w:proofErr w:type="spellStart"/>
      <w:r w:rsidRPr="0094030D">
        <w:rPr>
          <w:color w:val="000000" w:themeColor="text1"/>
        </w:rPr>
        <w:t>System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Usability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Scale</w:t>
      </w:r>
      <w:proofErr w:type="spellEnd"/>
      <w:r w:rsidRPr="0094030D">
        <w:rPr>
          <w:color w:val="000000" w:themeColor="text1"/>
        </w:rPr>
        <w:t xml:space="preserve"> (SUS)”. 1h </w:t>
      </w:r>
      <w:proofErr w:type="spellStart"/>
      <w:r w:rsidRPr="0094030D">
        <w:rPr>
          <w:color w:val="000000" w:themeColor="text1"/>
        </w:rPr>
        <w:t>environ</w:t>
      </w:r>
      <w:proofErr w:type="spellEnd"/>
      <w:r w:rsidRPr="0094030D">
        <w:rPr>
          <w:color w:val="000000" w:themeColor="text1"/>
        </w:rPr>
        <w:t xml:space="preserve"> de </w:t>
      </w:r>
      <w:proofErr w:type="spellStart"/>
      <w:r w:rsidRPr="0094030D">
        <w:rPr>
          <w:color w:val="000000" w:themeColor="text1"/>
        </w:rPr>
        <w:t>manipulation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avant</w:t>
      </w:r>
      <w:proofErr w:type="spellEnd"/>
      <w:r w:rsidRPr="0094030D">
        <w:rPr>
          <w:color w:val="000000" w:themeColor="text1"/>
        </w:rPr>
        <w:t xml:space="preserve"> de </w:t>
      </w:r>
      <w:proofErr w:type="spellStart"/>
      <w:r w:rsidRPr="0094030D">
        <w:rPr>
          <w:color w:val="000000" w:themeColor="text1"/>
        </w:rPr>
        <w:t>passer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au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questionnaire</w:t>
      </w:r>
      <w:proofErr w:type="spellEnd"/>
      <w:r w:rsidRPr="0094030D">
        <w:rPr>
          <w:color w:val="000000" w:themeColor="text1"/>
        </w:rPr>
        <w:t xml:space="preserve">. </w:t>
      </w:r>
      <w:proofErr w:type="spellStart"/>
      <w:r w:rsidRPr="0094030D">
        <w:rPr>
          <w:color w:val="000000" w:themeColor="text1"/>
        </w:rPr>
        <w:t>Expérimentation</w:t>
      </w:r>
      <w:proofErr w:type="spellEnd"/>
      <w:r w:rsidRPr="0094030D">
        <w:rPr>
          <w:color w:val="000000" w:themeColor="text1"/>
        </w:rPr>
        <w:t xml:space="preserve"> en </w:t>
      </w:r>
      <w:proofErr w:type="spellStart"/>
      <w:r w:rsidRPr="0094030D">
        <w:rPr>
          <w:color w:val="000000" w:themeColor="text1"/>
        </w:rPr>
        <w:t>plusieurs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fois</w:t>
      </w:r>
      <w:proofErr w:type="spellEnd"/>
      <w:r w:rsidRPr="0094030D">
        <w:rPr>
          <w:color w:val="000000" w:themeColor="text1"/>
        </w:rPr>
        <w:t xml:space="preserve">, sur </w:t>
      </w:r>
      <w:proofErr w:type="spellStart"/>
      <w:r w:rsidRPr="0094030D">
        <w:rPr>
          <w:color w:val="000000" w:themeColor="text1"/>
        </w:rPr>
        <w:t>différents</w:t>
      </w:r>
      <w:proofErr w:type="spellEnd"/>
      <w:r w:rsidRPr="0094030D">
        <w:rPr>
          <w:color w:val="000000" w:themeColor="text1"/>
        </w:rPr>
        <w:t xml:space="preserve"> </w:t>
      </w:r>
      <w:proofErr w:type="spellStart"/>
      <w:r w:rsidRPr="0094030D">
        <w:rPr>
          <w:color w:val="000000" w:themeColor="text1"/>
        </w:rPr>
        <w:t>sites</w:t>
      </w:r>
      <w:proofErr w:type="spellEnd"/>
      <w:r w:rsidRPr="0094030D">
        <w:rPr>
          <w:color w:val="000000" w:themeColor="text1"/>
        </w:rPr>
        <w:t xml:space="preserve">. </w:t>
      </w:r>
      <w:proofErr w:type="spellStart"/>
      <w:r w:rsidRPr="0094030D">
        <w:rPr>
          <w:color w:val="000000" w:themeColor="text1"/>
          <w:lang w:val="es-ES_tradnl"/>
        </w:rPr>
        <w:t>Echantillon</w:t>
      </w:r>
      <w:proofErr w:type="spellEnd"/>
      <w:r w:rsidRPr="0094030D">
        <w:rPr>
          <w:color w:val="000000" w:themeColor="text1"/>
          <w:lang w:val="es-ES_tradnl"/>
        </w:rPr>
        <w:t xml:space="preserve"> </w:t>
      </w:r>
      <w:proofErr w:type="spellStart"/>
      <w:r w:rsidRPr="0094030D">
        <w:rPr>
          <w:color w:val="000000" w:themeColor="text1"/>
          <w:lang w:val="es-ES_tradnl"/>
        </w:rPr>
        <w:t>rectifié</w:t>
      </w:r>
      <w:proofErr w:type="spellEnd"/>
      <w:r w:rsidRPr="0094030D">
        <w:rPr>
          <w:color w:val="000000" w:themeColor="text1"/>
          <w:lang w:val="es-ES_tradnl"/>
        </w:rPr>
        <w:t xml:space="preserve"> (</w:t>
      </w:r>
      <w:proofErr w:type="spellStart"/>
      <w:r w:rsidRPr="0094030D">
        <w:rPr>
          <w:color w:val="000000" w:themeColor="text1"/>
          <w:lang w:val="es-ES_tradnl"/>
        </w:rPr>
        <w:t>suppression</w:t>
      </w:r>
      <w:proofErr w:type="spellEnd"/>
      <w:r w:rsidRPr="0094030D">
        <w:rPr>
          <w:color w:val="000000" w:themeColor="text1"/>
          <w:lang w:val="es-ES_tradnl"/>
        </w:rPr>
        <w:t xml:space="preserve"> </w:t>
      </w:r>
      <w:proofErr w:type="spellStart"/>
      <w:r w:rsidRPr="0094030D">
        <w:rPr>
          <w:color w:val="000000" w:themeColor="text1"/>
          <w:lang w:val="es-ES_tradnl"/>
        </w:rPr>
        <w:t>d’une</w:t>
      </w:r>
      <w:proofErr w:type="spellEnd"/>
      <w:r w:rsidRPr="0094030D">
        <w:rPr>
          <w:color w:val="000000" w:themeColor="text1"/>
          <w:lang w:val="es-ES_tradnl"/>
        </w:rPr>
        <w:t xml:space="preserve"> </w:t>
      </w:r>
      <w:proofErr w:type="spellStart"/>
      <w:r w:rsidRPr="0094030D">
        <w:rPr>
          <w:color w:val="000000" w:themeColor="text1"/>
          <w:lang w:val="es-ES_tradnl"/>
        </w:rPr>
        <w:t>observation</w:t>
      </w:r>
      <w:proofErr w:type="spellEnd"/>
      <w:r w:rsidRPr="0094030D">
        <w:rPr>
          <w:color w:val="000000" w:themeColor="text1"/>
          <w:lang w:val="es-ES_tradnl"/>
        </w:rPr>
        <w:t>).</w:t>
      </w:r>
    </w:p>
    <w:p w:rsidR="0094030D" w:rsidRPr="0094030D" w:rsidRDefault="0094030D" w:rsidP="0094030D">
      <w:pPr>
        <w:numPr>
          <w:ilvl w:val="1"/>
          <w:numId w:val="5"/>
        </w:numPr>
        <w:rPr>
          <w:color w:val="FF0000"/>
        </w:rPr>
      </w:pPr>
      <w:proofErr w:type="spellStart"/>
      <w:r w:rsidRPr="0094030D">
        <w:rPr>
          <w:color w:val="000000" w:themeColor="text1"/>
        </w:rPr>
        <w:t>Approche</w:t>
      </w:r>
      <w:proofErr w:type="spellEnd"/>
      <w:r w:rsidRPr="0094030D">
        <w:rPr>
          <w:color w:val="000000" w:themeColor="text1"/>
        </w:rPr>
        <w:t xml:space="preserve"> par le </w:t>
      </w:r>
      <w:proofErr w:type="spellStart"/>
      <w:r w:rsidRPr="0094030D">
        <w:rPr>
          <w:color w:val="000000" w:themeColor="text1"/>
        </w:rPr>
        <w:t>genre</w:t>
      </w:r>
      <w:proofErr w:type="spellEnd"/>
      <w:r w:rsidRPr="0094030D">
        <w:rPr>
          <w:color w:val="000000" w:themeColor="text1"/>
        </w:rPr>
        <w:t>: N = 45 (</w:t>
      </w:r>
      <w:r w:rsidRPr="0094030D">
        <w:rPr>
          <w:b/>
          <w:bCs/>
          <w:color w:val="000000" w:themeColor="text1"/>
        </w:rPr>
        <w:t>25F</w:t>
      </w:r>
      <w:r w:rsidRPr="0094030D">
        <w:rPr>
          <w:color w:val="000000" w:themeColor="text1"/>
        </w:rPr>
        <w:t xml:space="preserve"> / 20 H). </w:t>
      </w:r>
      <w:r w:rsidRPr="0094030D">
        <w:rPr>
          <w:i/>
          <w:iCs/>
          <w:color w:val="FF0000"/>
        </w:rPr>
        <w:t xml:space="preserve">Bon </w:t>
      </w:r>
      <w:proofErr w:type="spellStart"/>
      <w:r w:rsidRPr="0094030D">
        <w:rPr>
          <w:i/>
          <w:iCs/>
          <w:color w:val="FF0000"/>
        </w:rPr>
        <w:t>pratique</w:t>
      </w:r>
      <w:proofErr w:type="spellEnd"/>
      <w:r w:rsidRPr="0094030D">
        <w:rPr>
          <w:i/>
          <w:iCs/>
          <w:color w:val="FF0000"/>
        </w:rPr>
        <w:t xml:space="preserve"> de </w:t>
      </w:r>
      <w:proofErr w:type="spellStart"/>
      <w:r w:rsidRPr="0094030D">
        <w:rPr>
          <w:i/>
          <w:iCs/>
          <w:color w:val="FF0000"/>
        </w:rPr>
        <w:t>approche</w:t>
      </w:r>
      <w:proofErr w:type="spellEnd"/>
      <w:r w:rsidRPr="0094030D">
        <w:rPr>
          <w:i/>
          <w:iCs/>
          <w:color w:val="FF0000"/>
        </w:rPr>
        <w:t xml:space="preserve"> par le </w:t>
      </w:r>
      <w:proofErr w:type="spellStart"/>
      <w:r w:rsidRPr="0094030D">
        <w:rPr>
          <w:i/>
          <w:iCs/>
          <w:color w:val="FF0000"/>
        </w:rPr>
        <w:t>genre</w:t>
      </w:r>
      <w:proofErr w:type="spellEnd"/>
    </w:p>
    <w:p w:rsidR="0094030D" w:rsidRPr="0094030D" w:rsidRDefault="0094030D" w:rsidP="0094030D">
      <w:pPr>
        <w:pStyle w:val="NormalWeb"/>
        <w:numPr>
          <w:ilvl w:val="1"/>
          <w:numId w:val="5"/>
        </w:numPr>
        <w:rPr>
          <w:color w:val="000000" w:themeColor="text1"/>
          <w:lang w:val="en-US"/>
        </w:rPr>
      </w:pPr>
      <w:proofErr w:type="spellStart"/>
      <w:r w:rsidRPr="0094030D">
        <w:rPr>
          <w:rFonts w:ascii="Cambria" w:hAnsi="Cambria"/>
          <w:color w:val="000000" w:themeColor="text1"/>
          <w:lang w:val="en-US"/>
        </w:rPr>
        <w:t>Présentation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du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portail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e-VAL. Mohamed Yassin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Chkouri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(UAE) </w:t>
      </w:r>
    </w:p>
    <w:p w:rsidR="0094030D" w:rsidRPr="0094030D" w:rsidRDefault="0094030D" w:rsidP="0094030D">
      <w:pPr>
        <w:pStyle w:val="NormalWeb"/>
        <w:numPr>
          <w:ilvl w:val="1"/>
          <w:numId w:val="5"/>
        </w:numPr>
        <w:rPr>
          <w:color w:val="000000" w:themeColor="text1"/>
          <w:lang w:val="en-US"/>
        </w:rPr>
      </w:pPr>
      <w:proofErr w:type="spellStart"/>
      <w:r w:rsidRPr="0094030D">
        <w:rPr>
          <w:rFonts w:ascii="Cambria" w:hAnsi="Cambria"/>
          <w:color w:val="000000" w:themeColor="text1"/>
          <w:lang w:val="en-US"/>
        </w:rPr>
        <w:t>Planifications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des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activités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disséminations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. </w:t>
      </w:r>
    </w:p>
    <w:p w:rsidR="0094030D" w:rsidRDefault="0094030D" w:rsidP="0094030D">
      <w:pPr>
        <w:pStyle w:val="NormalWeb"/>
        <w:numPr>
          <w:ilvl w:val="1"/>
          <w:numId w:val="5"/>
        </w:numPr>
        <w:rPr>
          <w:color w:val="000000" w:themeColor="text1"/>
          <w:lang w:val="en-US"/>
        </w:rPr>
      </w:pPr>
      <w:proofErr w:type="spellStart"/>
      <w:r w:rsidRPr="0094030D">
        <w:rPr>
          <w:rFonts w:ascii="Cambria" w:hAnsi="Cambria"/>
          <w:color w:val="000000" w:themeColor="text1"/>
        </w:rPr>
        <w:t>Présentation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du </w:t>
      </w:r>
      <w:proofErr w:type="spellStart"/>
      <w:r w:rsidRPr="0094030D">
        <w:rPr>
          <w:rFonts w:ascii="Cambria" w:hAnsi="Cambria"/>
          <w:color w:val="000000" w:themeColor="text1"/>
        </w:rPr>
        <w:t>rapport</w:t>
      </w:r>
      <w:proofErr w:type="spellEnd"/>
      <w:r w:rsidRPr="0094030D">
        <w:rPr>
          <w:rFonts w:ascii="Cambria" w:hAnsi="Cambria"/>
          <w:color w:val="000000" w:themeColor="text1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</w:rPr>
        <w:t>qualite</w:t>
      </w:r>
      <w:proofErr w:type="spellEnd"/>
      <w:r w:rsidRPr="0094030D">
        <w:rPr>
          <w:rFonts w:ascii="Cambria" w:hAnsi="Cambria"/>
          <w:color w:val="000000" w:themeColor="text1"/>
        </w:rPr>
        <w:t xml:space="preserve">́ (UVigo) et </w:t>
      </w:r>
      <w:proofErr w:type="spellStart"/>
      <w:r w:rsidRPr="0094030D">
        <w:rPr>
          <w:rFonts w:ascii="Cambria" w:hAnsi="Cambria"/>
          <w:color w:val="000000" w:themeColor="text1"/>
        </w:rPr>
        <w:t>Présentation</w:t>
      </w:r>
      <w:proofErr w:type="spellEnd"/>
      <w:r w:rsidRPr="0094030D">
        <w:rPr>
          <w:rFonts w:ascii="Cambria" w:hAnsi="Cambria"/>
          <w:color w:val="000000" w:themeColor="text1"/>
        </w:rPr>
        <w:t xml:space="preserve"> du plan </w:t>
      </w:r>
      <w:proofErr w:type="spellStart"/>
      <w:r w:rsidRPr="0094030D">
        <w:rPr>
          <w:rFonts w:ascii="Cambria" w:hAnsi="Cambria"/>
          <w:color w:val="000000" w:themeColor="text1"/>
        </w:rPr>
        <w:t>qualite</w:t>
      </w:r>
      <w:proofErr w:type="spellEnd"/>
      <w:r w:rsidRPr="0094030D">
        <w:rPr>
          <w:rFonts w:ascii="Cambria" w:hAnsi="Cambria"/>
          <w:color w:val="000000" w:themeColor="text1"/>
        </w:rPr>
        <w:t xml:space="preserve">́ (UVigo) </w:t>
      </w:r>
    </w:p>
    <w:p w:rsidR="0094030D" w:rsidRPr="0094030D" w:rsidRDefault="0094030D" w:rsidP="0094030D">
      <w:pPr>
        <w:pStyle w:val="NormalWeb"/>
        <w:numPr>
          <w:ilvl w:val="1"/>
          <w:numId w:val="5"/>
        </w:numPr>
        <w:rPr>
          <w:color w:val="000000" w:themeColor="text1"/>
          <w:lang w:val="en-US"/>
        </w:rPr>
      </w:pPr>
      <w:r w:rsidRPr="0094030D">
        <w:rPr>
          <w:rFonts w:ascii="Cambria" w:hAnsi="Cambria"/>
          <w:color w:val="000000" w:themeColor="text1"/>
          <w:lang w:val="en-US"/>
        </w:rPr>
        <w:t xml:space="preserve">Gestion administrative et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financière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du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projet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>.</w:t>
      </w:r>
      <w:r w:rsidRPr="0094030D">
        <w:rPr>
          <w:rFonts w:ascii="Cambria" w:hAnsi="Cambria"/>
          <w:color w:val="000000" w:themeColor="text1"/>
          <w:lang w:val="en-US"/>
        </w:rPr>
        <w:br/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Achat</w:t>
      </w:r>
      <w:proofErr w:type="spellEnd"/>
      <w:r w:rsidRPr="0094030D">
        <w:rPr>
          <w:rFonts w:ascii="Cambria" w:hAnsi="Cambria"/>
          <w:color w:val="000000" w:themeColor="text1"/>
          <w:lang w:val="en-US"/>
        </w:rPr>
        <w:t xml:space="preserve"> de </w:t>
      </w:r>
      <w:proofErr w:type="spellStart"/>
      <w:r w:rsidRPr="0094030D">
        <w:rPr>
          <w:rFonts w:ascii="Cambria" w:hAnsi="Cambria"/>
          <w:color w:val="000000" w:themeColor="text1"/>
          <w:lang w:val="en-US"/>
        </w:rPr>
        <w:t>l’équipement</w:t>
      </w:r>
      <w:proofErr w:type="spellEnd"/>
      <w:r w:rsidRPr="0094030D">
        <w:rPr>
          <w:rFonts w:ascii="Cambria" w:hAnsi="Cambria"/>
          <w:color w:val="7030A0"/>
          <w:lang w:val="en-US"/>
        </w:rPr>
        <w:t xml:space="preserve">. (UCA), (UAE) </w:t>
      </w:r>
    </w:p>
    <w:p w:rsidR="0094030D" w:rsidRPr="00E75CFF" w:rsidRDefault="0094030D" w:rsidP="0094030D">
      <w:pPr>
        <w:rPr>
          <w:color w:val="FF0000"/>
        </w:rPr>
      </w:pPr>
      <w:proofErr w:type="spellStart"/>
      <w:r w:rsidRPr="00E75CFF">
        <w:rPr>
          <w:color w:val="FF0000"/>
        </w:rPr>
        <w:t>Faiblesses:Besoin</w:t>
      </w:r>
      <w:proofErr w:type="spellEnd"/>
      <w:r w:rsidRPr="00E75CFF">
        <w:rPr>
          <w:color w:val="FF0000"/>
        </w:rPr>
        <w:t xml:space="preserve"> de </w:t>
      </w:r>
      <w:proofErr w:type="spellStart"/>
      <w:r w:rsidRPr="00E75CFF">
        <w:rPr>
          <w:color w:val="FF0000"/>
        </w:rPr>
        <w:t>clarifier</w:t>
      </w:r>
      <w:proofErr w:type="spellEnd"/>
      <w:r w:rsidRPr="00E75CFF">
        <w:rPr>
          <w:color w:val="FF0000"/>
        </w:rPr>
        <w:t xml:space="preserve"> les </w:t>
      </w:r>
      <w:proofErr w:type="spellStart"/>
      <w:r w:rsidRPr="00E75CFF">
        <w:rPr>
          <w:color w:val="FF0000"/>
        </w:rPr>
        <w:t>aspects</w:t>
      </w:r>
      <w:proofErr w:type="spellEnd"/>
      <w:r w:rsidRPr="00E75CFF">
        <w:rPr>
          <w:color w:val="FF0000"/>
        </w:rPr>
        <w:t xml:space="preserve"> </w:t>
      </w:r>
      <w:proofErr w:type="spellStart"/>
      <w:r w:rsidRPr="00E75CFF">
        <w:rPr>
          <w:color w:val="FF0000"/>
        </w:rPr>
        <w:t>suivants</w:t>
      </w:r>
      <w:proofErr w:type="spellEnd"/>
      <w:r w:rsidRPr="00E75CFF">
        <w:rPr>
          <w:color w:val="FF0000"/>
        </w:rPr>
        <w:t>:</w:t>
      </w:r>
    </w:p>
    <w:p w:rsidR="0094030D" w:rsidRPr="00E75CFF" w:rsidRDefault="0094030D" w:rsidP="0094030D">
      <w:pPr>
        <w:rPr>
          <w:color w:val="FF0000"/>
        </w:rPr>
      </w:pPr>
    </w:p>
    <w:p w:rsidR="0094030D" w:rsidRPr="00E75CFF" w:rsidRDefault="0094030D" w:rsidP="0094030D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FF0000"/>
          <w:lang w:val="fr-FR"/>
        </w:rPr>
      </w:pPr>
      <w:r w:rsidRPr="00E75CFF">
        <w:rPr>
          <w:rFonts w:ascii="inherit" w:hAnsi="inherit" w:cs="Courier New"/>
          <w:color w:val="FF0000"/>
          <w:lang w:val="fr-FR"/>
        </w:rPr>
        <w:t>Avez-vous excusé les absences?</w:t>
      </w:r>
    </w:p>
    <w:p w:rsidR="0094030D" w:rsidRPr="00E75CFF" w:rsidRDefault="0094030D" w:rsidP="0094030D">
      <w:pPr>
        <w:pStyle w:val="Prrafodelista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FF0000"/>
        </w:rPr>
      </w:pPr>
      <w:r w:rsidRPr="00E75CFF">
        <w:rPr>
          <w:rFonts w:ascii="inherit" w:hAnsi="inherit" w:cs="Courier New"/>
          <w:color w:val="FF0000"/>
          <w:lang w:val="fr-FR"/>
        </w:rPr>
        <w:t>Mécanisme de rétroaction pour les absents</w:t>
      </w:r>
    </w:p>
    <w:p w:rsidR="0094030D" w:rsidRPr="0094030D" w:rsidRDefault="0094030D" w:rsidP="00E75CFF"/>
    <w:sectPr w:rsidR="0094030D" w:rsidRPr="0094030D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inherit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C7CAD"/>
    <w:multiLevelType w:val="hybridMultilevel"/>
    <w:tmpl w:val="55086462"/>
    <w:lvl w:ilvl="0" w:tplc="1F823094">
      <w:start w:val="4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C76DEF"/>
    <w:multiLevelType w:val="hybridMultilevel"/>
    <w:tmpl w:val="4EFA2EDE"/>
    <w:lvl w:ilvl="0" w:tplc="4A12F6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1D86A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DB24C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0FCCA8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888947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9A052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DE2A5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C8231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72041A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F978A2"/>
    <w:multiLevelType w:val="hybridMultilevel"/>
    <w:tmpl w:val="5B72777C"/>
    <w:lvl w:ilvl="0" w:tplc="7220C74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0F06310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62E37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87A14F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736A04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EE08CD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B6261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5E6E51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34C4DC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4C0BA1"/>
    <w:multiLevelType w:val="hybridMultilevel"/>
    <w:tmpl w:val="CA26D254"/>
    <w:lvl w:ilvl="0" w:tplc="5B287F9A">
      <w:start w:val="4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A23E8"/>
    <w:multiLevelType w:val="hybridMultilevel"/>
    <w:tmpl w:val="89E45622"/>
    <w:lvl w:ilvl="0" w:tplc="FF287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FF"/>
    <w:rsid w:val="00406FE6"/>
    <w:rsid w:val="0094030D"/>
    <w:rsid w:val="00986CAF"/>
    <w:rsid w:val="00A50202"/>
    <w:rsid w:val="00E7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823390"/>
  <w15:chartTrackingRefBased/>
  <w15:docId w15:val="{BE7ADBCC-87A5-1F42-8FB4-0EB4902E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CFF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E75CFF"/>
    <w:pPr>
      <w:widowControl w:val="0"/>
      <w:spacing w:before="36"/>
      <w:ind w:left="489"/>
    </w:pPr>
    <w:rPr>
      <w:rFonts w:ascii="Calibri" w:eastAsia="Calibri" w:hAnsi="Calibri" w:cstheme="minorBidi"/>
      <w:b/>
      <w:bCs/>
      <w:sz w:val="32"/>
      <w:szCs w:val="3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75CFF"/>
    <w:rPr>
      <w:rFonts w:ascii="Calibri" w:eastAsia="Calibri" w:hAnsi="Calibri"/>
      <w:b/>
      <w:bCs/>
      <w:sz w:val="32"/>
      <w:szCs w:val="32"/>
      <w:lang w:val="en-US"/>
    </w:rPr>
  </w:style>
  <w:style w:type="paragraph" w:styleId="NormalWeb">
    <w:name w:val="Normal (Web)"/>
    <w:basedOn w:val="Normal"/>
    <w:uiPriority w:val="99"/>
    <w:unhideWhenUsed/>
    <w:rsid w:val="00E75CFF"/>
    <w:pPr>
      <w:spacing w:before="100" w:beforeAutospacing="1" w:after="100" w:afterAutospacing="1"/>
    </w:pPr>
  </w:style>
  <w:style w:type="paragraph" w:styleId="HTMLconformatoprevio">
    <w:name w:val="HTML Preformatted"/>
    <w:basedOn w:val="Normal"/>
    <w:link w:val="HTMLconformatoprevioCar"/>
    <w:uiPriority w:val="99"/>
    <w:unhideWhenUsed/>
    <w:rsid w:val="00E75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75CFF"/>
    <w:rPr>
      <w:rFonts w:ascii="Courier New" w:eastAsia="Times New Roman" w:hAnsi="Courier New" w:cs="Courier New"/>
      <w:sz w:val="20"/>
      <w:szCs w:val="20"/>
      <w:lang w:eastAsia="es-ES_tradnl"/>
    </w:rPr>
  </w:style>
  <w:style w:type="paragraph" w:styleId="Prrafodelista">
    <w:name w:val="List Paragraph"/>
    <w:basedOn w:val="Normal"/>
    <w:uiPriority w:val="34"/>
    <w:qFormat/>
    <w:rsid w:val="00E75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0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3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48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50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19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982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1</cp:revision>
  <dcterms:created xsi:type="dcterms:W3CDTF">2020-01-01T18:12:00Z</dcterms:created>
  <dcterms:modified xsi:type="dcterms:W3CDTF">2020-01-01T18:32:00Z</dcterms:modified>
</cp:coreProperties>
</file>